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Durante el mes de mayo 2026 no hay finalización del contrato por lo tanto no se adjunta actas de elementos entregados.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